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984"/>
        <w:gridCol w:w="10"/>
        <w:gridCol w:w="1984"/>
        <w:gridCol w:w="10"/>
        <w:gridCol w:w="1985"/>
        <w:gridCol w:w="10"/>
        <w:gridCol w:w="1984"/>
        <w:gridCol w:w="10"/>
        <w:gridCol w:w="1985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ucida Grande" w:hAnsi="Lucida Grande" w:cs="Lucida Grande"/>
                <w:sz w:val="24"/>
                <w:szCs w:val="24"/>
              </w:rPr>
              <w:t>Criteria</w:t>
            </w:r>
          </w:p>
        </w:tc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A</w:t>
            </w:r>
          </w:p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Continuity and change (questions 1 and 2)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Fails to recognize ongoing contention over rights and title and pivotal role of the land to Aboriginal people.Fails to identify any changes.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Student makes basic observations about both continuity and change.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Supports accurate claims of continuity and change with specific historical events from a variety of sources.  Shows how title and rights remain points of contention.  Recognizes that the la</w:t>
            </w:r>
            <w:r>
              <w:rPr>
                <w:rFonts w:ascii="Lucida Grande" w:hAnsi="Lucida Grande" w:cs="Lucida Grande"/>
                <w:sz w:val="24"/>
                <w:szCs w:val="24"/>
              </w:rPr>
              <w:t>nd remains pivotal to Aboriginal cultures.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All of (3) plus: presents insightful arguments and incorporates different perspectives.Recognizes power relations associated with continuity and change.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B</w:t>
            </w:r>
          </w:p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Perspective-taking (question 3)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Does not identify multiple perspectives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Provides basic understanding of multiple perspectives.  Wording such as ìusî and ìthemî indicate that student is writing from one perspective only.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Uses sources and differentiates multiple historical perspectives, wi</w:t>
            </w:r>
            <w:r>
              <w:rPr>
                <w:rFonts w:ascii="Lucida Grande" w:hAnsi="Lucida Grande" w:cs="Lucida Grande"/>
                <w:sz w:val="24"/>
                <w:szCs w:val="24"/>
              </w:rPr>
              <w:t>thout identifying solely with one position.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All of (3) plus relates different perspectives to their differences in power, material interests, historical circumstances, and/or relationship to each other.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C</w:t>
            </w:r>
          </w:p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Moral Dimension: students use historical sources t</w:t>
            </w:r>
            <w:r>
              <w:rPr>
                <w:rFonts w:ascii="Lucida Grande" w:hAnsi="Lucida Grande" w:cs="Lucida Grande"/>
                <w:sz w:val="24"/>
                <w:szCs w:val="24"/>
              </w:rPr>
              <w:t>o inform judgments about moral and policy questions in the present.  (questions 4 and 5)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Student makes a random, inaccurate and/or partial list without an argument.Does not offer a title and explanation for the choice.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Student offers a basic list and ar</w:t>
            </w:r>
            <w:r>
              <w:rPr>
                <w:rFonts w:ascii="Lucida Grande" w:hAnsi="Lucida Grande" w:cs="Lucida Grande"/>
                <w:sz w:val="24"/>
                <w:szCs w:val="24"/>
              </w:rPr>
              <w:t>gument for why negotiators should know this information.  Offers a title and basic explanation.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Offers an argument, with specific, well-selected historical references.  Offers a reasonable title, with an explanation that reflects the challenges of communic</w:t>
            </w:r>
            <w:r>
              <w:rPr>
                <w:rFonts w:ascii="Lucida Grande" w:hAnsi="Lucida Grande" w:cs="Lucida Grande"/>
                <w:sz w:val="24"/>
                <w:szCs w:val="24"/>
              </w:rPr>
              <w:t>ating the issue to the public.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Student offers a creative argument, with well-selected historical references.  Demonstrates sensitivity in addressing moral issues surrounding Aboriginal title and rights.Offers a reasonable and </w:t>
            </w:r>
            <w:r>
              <w:rPr>
                <w:rFonts w:ascii="Lucida Grande" w:hAnsi="Lucida Grande" w:cs="Lucida Grande"/>
                <w:sz w:val="24"/>
                <w:szCs w:val="24"/>
              </w:rPr>
              <w:lastRenderedPageBreak/>
              <w:t>creative title.  Shows sensiti</w:t>
            </w:r>
            <w:r>
              <w:rPr>
                <w:rFonts w:ascii="Lucida Grande" w:hAnsi="Lucida Grande" w:cs="Lucida Grande"/>
                <w:sz w:val="24"/>
                <w:szCs w:val="24"/>
              </w:rPr>
              <w:t>ve, original and insightful ideas about communicating the issue to the public.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lastRenderedPageBreak/>
              <w:t>D</w:t>
            </w:r>
          </w:p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Note: Teachers may also want to assess the use of vocabulary introduced in the lesson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E</w:t>
            </w:r>
          </w:p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F</w:t>
            </w:r>
          </w:p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10319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:rsidR="00000000" w:rsidRDefault="0010319E"/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E"/>
    <w:rsid w:val="001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1896</Characters>
  <Application>Microsoft Macintosh Word</Application>
  <DocSecurity>0</DocSecurity>
  <Lines>38</Lines>
  <Paragraphs>21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Ulrike Spitzer</cp:lastModifiedBy>
  <cp:revision>2</cp:revision>
  <dcterms:created xsi:type="dcterms:W3CDTF">2014-09-05T22:48:00Z</dcterms:created>
  <dcterms:modified xsi:type="dcterms:W3CDTF">2014-09-05T22:48:00Z</dcterms:modified>
</cp:coreProperties>
</file>